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4D" w:rsidRPr="00DE004D" w:rsidRDefault="00DE004D" w:rsidP="00DE0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04D" w:rsidRPr="00DE004D" w:rsidRDefault="00DE004D" w:rsidP="00DE0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04D">
        <w:rPr>
          <w:rFonts w:ascii="Times New Roman" w:hAnsi="Times New Roman" w:cs="Times New Roman"/>
          <w:b/>
          <w:sz w:val="28"/>
          <w:szCs w:val="28"/>
        </w:rPr>
        <w:t>Историческая хроника</w:t>
      </w:r>
    </w:p>
    <w:p w:rsidR="00DE004D" w:rsidRDefault="00DE004D" w:rsidP="00DE0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04D" w:rsidRPr="00DE004D" w:rsidRDefault="00DE004D" w:rsidP="00DE0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04D">
        <w:rPr>
          <w:rFonts w:ascii="Times New Roman" w:hAnsi="Times New Roman" w:cs="Times New Roman"/>
          <w:sz w:val="28"/>
          <w:szCs w:val="28"/>
        </w:rPr>
        <w:t>Одной из характерных черт литературы 60-х гг. является расцвет исторической драматургии. Это имело свои причины.</w:t>
      </w:r>
    </w:p>
    <w:p w:rsidR="00DE004D" w:rsidRPr="00DE004D" w:rsidRDefault="00DE004D" w:rsidP="00DE0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004D">
        <w:rPr>
          <w:rFonts w:ascii="Times New Roman" w:hAnsi="Times New Roman" w:cs="Times New Roman"/>
          <w:sz w:val="28"/>
          <w:szCs w:val="28"/>
        </w:rPr>
        <w:t xml:space="preserve">Социальный перелом, который переживало общество, побуждал к осмыслению прошлого, ослабление цензурного гнета привело к публикации большого количества исторических материалов. К 60-м гг. в русской науке утвердилась и получила широкое распространение так называемая государственная школа, связывавшая историческое развитие страны с историей государства и основывавшая периодизацию быта русского общества на представлении об эволюции государства. Наряду с этим направлением, исходившим из переосмысления гегелевской концепции, согласно которой сильное государство – высшее выражение исторической жизни народа, в трудах ряда ученых была сформулирована мысль об истории как проявлении активности народных масс, об особом значении народных движений в социальном прогрессе. В исторической драматургии соответственно преимущественный интерес писателей привлекали к себе две эпохи: конец XVI </w:t>
      </w:r>
      <w:proofErr w:type="gramStart"/>
      <w:r w:rsidRPr="00DE00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004D">
        <w:rPr>
          <w:rFonts w:ascii="Times New Roman" w:hAnsi="Times New Roman" w:cs="Times New Roman"/>
          <w:sz w:val="28"/>
          <w:szCs w:val="28"/>
        </w:rPr>
        <w:t>.</w:t>
      </w:r>
    </w:p>
    <w:p w:rsidR="00DE004D" w:rsidRPr="00DE004D" w:rsidRDefault="00DE004D" w:rsidP="00DE0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004D">
        <w:rPr>
          <w:rFonts w:ascii="Times New Roman" w:hAnsi="Times New Roman" w:cs="Times New Roman"/>
          <w:sz w:val="28"/>
          <w:szCs w:val="28"/>
        </w:rPr>
        <w:t xml:space="preserve">– эпоха Ивана IV, монарха, всеми средствами насаждавшего неограниченное единодержавие, сильное феодальное государство, и начало XVII </w:t>
      </w:r>
      <w:proofErr w:type="gramStart"/>
      <w:r w:rsidRPr="00DE00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004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E004D">
        <w:rPr>
          <w:rFonts w:ascii="Times New Roman" w:hAnsi="Times New Roman" w:cs="Times New Roman"/>
          <w:sz w:val="28"/>
          <w:szCs w:val="28"/>
        </w:rPr>
        <w:t>эпоха</w:t>
      </w:r>
      <w:proofErr w:type="gramEnd"/>
      <w:r w:rsidRPr="00DE004D">
        <w:rPr>
          <w:rFonts w:ascii="Times New Roman" w:hAnsi="Times New Roman" w:cs="Times New Roman"/>
          <w:sz w:val="28"/>
          <w:szCs w:val="28"/>
        </w:rPr>
        <w:t xml:space="preserve"> «многих мятежей», крестьянских войн и движений народа против гнета государства, феодалов и закрепощения крестьянства. Среди обильной исторической драматургии, в развитии которой в 60-х гг.</w:t>
      </w:r>
    </w:p>
    <w:p w:rsidR="00DE004D" w:rsidRPr="00DE004D" w:rsidRDefault="00DE004D" w:rsidP="00DE0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04D">
        <w:rPr>
          <w:rFonts w:ascii="Times New Roman" w:hAnsi="Times New Roman" w:cs="Times New Roman"/>
          <w:sz w:val="28"/>
          <w:szCs w:val="28"/>
        </w:rPr>
        <w:t>принимали участие многие писатели, – в их числе Д. В. Аверкиев (1836–1905), Н.</w:t>
      </w:r>
    </w:p>
    <w:p w:rsidR="00DE004D" w:rsidRPr="00DE004D" w:rsidRDefault="00DE004D" w:rsidP="00DE0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04D">
        <w:rPr>
          <w:rFonts w:ascii="Times New Roman" w:hAnsi="Times New Roman" w:cs="Times New Roman"/>
          <w:sz w:val="28"/>
          <w:szCs w:val="28"/>
        </w:rPr>
        <w:t>А. Чаев (1824–1914), А. Ф. Писемский и другие известные литераторы, – хроники А. Н.</w:t>
      </w:r>
    </w:p>
    <w:p w:rsidR="00DE004D" w:rsidRPr="00DE004D" w:rsidRDefault="00DE004D" w:rsidP="00DE0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04D">
        <w:rPr>
          <w:rFonts w:ascii="Times New Roman" w:hAnsi="Times New Roman" w:cs="Times New Roman"/>
          <w:sz w:val="28"/>
          <w:szCs w:val="28"/>
        </w:rPr>
        <w:t>Островского и трагедии А. К.</w:t>
      </w:r>
    </w:p>
    <w:p w:rsidR="00DE004D" w:rsidRPr="00DE004D" w:rsidRDefault="00DE004D" w:rsidP="00DE0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004D">
        <w:rPr>
          <w:rFonts w:ascii="Times New Roman" w:hAnsi="Times New Roman" w:cs="Times New Roman"/>
          <w:sz w:val="28"/>
          <w:szCs w:val="28"/>
        </w:rPr>
        <w:t>Толстого выделяются художественным своеобразием и глубиной проникновения авторов в прошлое народа и государства. А. К. Толстой и А. Н. Островский изобразили в своей драматургии явления, близкие по времени.</w:t>
      </w:r>
    </w:p>
    <w:p w:rsidR="00DE004D" w:rsidRPr="00DE004D" w:rsidRDefault="00DE004D" w:rsidP="00DE0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E004D">
        <w:rPr>
          <w:rFonts w:ascii="Times New Roman" w:hAnsi="Times New Roman" w:cs="Times New Roman"/>
          <w:sz w:val="28"/>
          <w:szCs w:val="28"/>
        </w:rPr>
        <w:t>Однако то, чем А. К. Толстой заканчивает свое драматическое повествование, что, как пугающий призрак возмездия за политические ошибки и попрание человечности, возникает на историческом горизонте в финале его трилогии, непосредственно составляет содержание хроник Островского</w:t>
      </w:r>
      <w:proofErr w:type="gramStart"/>
      <w:r w:rsidRPr="00DE00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E004D">
        <w:rPr>
          <w:rFonts w:ascii="Times New Roman" w:hAnsi="Times New Roman" w:cs="Times New Roman"/>
          <w:sz w:val="28"/>
          <w:szCs w:val="28"/>
        </w:rPr>
        <w:t xml:space="preserve"> В народном сопротивлении властям, движении крестьян и горожан, защищающихся как от внешних врагов, так и от закрепощения и насилий власть имущих, Островский видел не катастрофу, не распад общественных связей, а одно из закономерных проявлений исторической жизни. Островский, много и самостоятельно занимавшийся изучением истории, черпавший свои знания непосредственно из документов и хорошо знакомый с новейшими исследованиями общих и частных вопросов этой науки, особенно интересовался событиями XVII столетия.</w:t>
      </w:r>
    </w:p>
    <w:p w:rsidR="00DE004D" w:rsidRPr="00DE004D" w:rsidRDefault="00DE004D" w:rsidP="00DE0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82E" w:rsidRPr="00DE004D" w:rsidRDefault="00DE004D" w:rsidP="00DE0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282E" w:rsidRPr="00DE004D" w:rsidSect="00DE004D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04D"/>
    <w:rsid w:val="0010008F"/>
    <w:rsid w:val="00181F76"/>
    <w:rsid w:val="00A261D3"/>
    <w:rsid w:val="00BA3329"/>
    <w:rsid w:val="00C77CB2"/>
    <w:rsid w:val="00DE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2015-01-29T09:13:00Z</dcterms:created>
  <dcterms:modified xsi:type="dcterms:W3CDTF">2015-01-29T09:17:00Z</dcterms:modified>
</cp:coreProperties>
</file>